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6788F" w14:textId="7688C807" w:rsidR="008F0FC8" w:rsidRPr="001D08DC" w:rsidRDefault="00B73DE0" w:rsidP="00985F4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1D08DC">
        <w:rPr>
          <w:b/>
          <w:sz w:val="24"/>
          <w:szCs w:val="24"/>
        </w:rPr>
        <w:t xml:space="preserve">PRIMER </w:t>
      </w:r>
      <w:r>
        <w:rPr>
          <w:b/>
          <w:sz w:val="24"/>
          <w:szCs w:val="24"/>
        </w:rPr>
        <w:t xml:space="preserve">COMPENDIO </w:t>
      </w:r>
      <w:r w:rsidRPr="001D08DC">
        <w:rPr>
          <w:b/>
          <w:sz w:val="24"/>
          <w:szCs w:val="24"/>
        </w:rPr>
        <w:t xml:space="preserve">DE SENTENCIAS CON PERSPECTIVA DE GÉNERO </w:t>
      </w:r>
      <w:r>
        <w:rPr>
          <w:b/>
          <w:sz w:val="24"/>
          <w:szCs w:val="24"/>
        </w:rPr>
        <w:t>DE LA ARGENTINA</w:t>
      </w:r>
    </w:p>
    <w:p w14:paraId="2005D06A" w14:textId="5D3CB065" w:rsidR="008F0FC8" w:rsidRPr="001D08DC" w:rsidRDefault="00B73DE0" w:rsidP="00985F45">
      <w:pPr>
        <w:spacing w:after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R</w:t>
      </w:r>
      <w:r w:rsidR="001D08DC">
        <w:rPr>
          <w:bCs/>
          <w:i/>
          <w:iCs/>
        </w:rPr>
        <w:t>eúne</w:t>
      </w:r>
      <w:r>
        <w:rPr>
          <w:bCs/>
          <w:i/>
          <w:iCs/>
        </w:rPr>
        <w:t xml:space="preserve"> 110</w:t>
      </w:r>
      <w:r w:rsidR="001D08DC">
        <w:rPr>
          <w:bCs/>
          <w:i/>
          <w:iCs/>
        </w:rPr>
        <w:t xml:space="preserve"> </w:t>
      </w:r>
      <w:r w:rsidR="00985F45">
        <w:rPr>
          <w:bCs/>
          <w:i/>
          <w:iCs/>
        </w:rPr>
        <w:t xml:space="preserve">resoluciones </w:t>
      </w:r>
      <w:r>
        <w:rPr>
          <w:bCs/>
          <w:i/>
          <w:iCs/>
        </w:rPr>
        <w:t>dictad</w:t>
      </w:r>
      <w:r w:rsidR="00985F45">
        <w:rPr>
          <w:bCs/>
          <w:i/>
          <w:iCs/>
        </w:rPr>
        <w:t>a</w:t>
      </w:r>
      <w:r>
        <w:rPr>
          <w:bCs/>
          <w:i/>
          <w:iCs/>
        </w:rPr>
        <w:t>s entre 2017 y 2020.</w:t>
      </w:r>
      <w:r w:rsidR="00985F45">
        <w:rPr>
          <w:bCs/>
          <w:i/>
          <w:iCs/>
        </w:rPr>
        <w:t xml:space="preserve"> </w:t>
      </w:r>
      <w:r w:rsidR="00985F45" w:rsidRPr="001D08DC">
        <w:rPr>
          <w:bCs/>
          <w:i/>
          <w:iCs/>
        </w:rPr>
        <w:t>Fue elaborado por la Oficina de la Mujer de</w:t>
      </w:r>
      <w:r w:rsidR="00985F45">
        <w:rPr>
          <w:bCs/>
          <w:i/>
          <w:iCs/>
        </w:rPr>
        <w:t xml:space="preserve"> la Corte S</w:t>
      </w:r>
      <w:r w:rsidR="002B23AC">
        <w:rPr>
          <w:bCs/>
          <w:i/>
          <w:iCs/>
        </w:rPr>
        <w:t>uprema de Justicia de la Nación</w:t>
      </w:r>
    </w:p>
    <w:p w14:paraId="6CA6EA13" w14:textId="5A6ED436" w:rsidR="008F0FC8" w:rsidRDefault="008F0FC8" w:rsidP="008F0FC8">
      <w:pPr>
        <w:spacing w:after="0" w:line="360" w:lineRule="auto"/>
        <w:jc w:val="both"/>
        <w:rPr>
          <w:b/>
        </w:rPr>
      </w:pPr>
    </w:p>
    <w:p w14:paraId="67B4BB0D" w14:textId="3CEA34D6" w:rsidR="00634B8F" w:rsidRDefault="008F0FC8" w:rsidP="008F0FC8">
      <w:pPr>
        <w:spacing w:after="0" w:line="360" w:lineRule="auto"/>
        <w:jc w:val="both"/>
        <w:rPr>
          <w:bCs/>
          <w:sz w:val="24"/>
          <w:szCs w:val="24"/>
        </w:rPr>
      </w:pPr>
      <w:r w:rsidRPr="008F0FC8">
        <w:rPr>
          <w:bCs/>
          <w:sz w:val="24"/>
          <w:szCs w:val="24"/>
        </w:rPr>
        <w:t xml:space="preserve">Con motivo del </w:t>
      </w:r>
      <w:r>
        <w:rPr>
          <w:bCs/>
          <w:sz w:val="24"/>
          <w:szCs w:val="24"/>
        </w:rPr>
        <w:t xml:space="preserve">Día Internacional de Eliminación de la Violencia </w:t>
      </w:r>
      <w:r w:rsidR="00C647CD">
        <w:rPr>
          <w:bCs/>
          <w:sz w:val="24"/>
          <w:szCs w:val="24"/>
        </w:rPr>
        <w:t xml:space="preserve">contra </w:t>
      </w:r>
      <w:r>
        <w:rPr>
          <w:bCs/>
          <w:sz w:val="24"/>
          <w:szCs w:val="24"/>
        </w:rPr>
        <w:t>la Mujer</w:t>
      </w:r>
      <w:r w:rsidR="00C647CD">
        <w:rPr>
          <w:bCs/>
          <w:sz w:val="24"/>
          <w:szCs w:val="24"/>
        </w:rPr>
        <w:t xml:space="preserve"> que se conmemora el </w:t>
      </w:r>
      <w:r w:rsidR="00C647CD" w:rsidRPr="008F0FC8">
        <w:rPr>
          <w:bCs/>
          <w:sz w:val="24"/>
          <w:szCs w:val="24"/>
        </w:rPr>
        <w:t>25 de noviembre,</w:t>
      </w:r>
      <w:r>
        <w:rPr>
          <w:bCs/>
          <w:sz w:val="24"/>
          <w:szCs w:val="24"/>
        </w:rPr>
        <w:t xml:space="preserve"> la Oficina de la Mujer</w:t>
      </w:r>
      <w:r w:rsidR="00B73DE0">
        <w:rPr>
          <w:bCs/>
          <w:sz w:val="24"/>
          <w:szCs w:val="24"/>
        </w:rPr>
        <w:t xml:space="preserve"> (OM) de la Corte Suprema de Justicia de la Nación </w:t>
      </w:r>
      <w:r>
        <w:rPr>
          <w:bCs/>
          <w:sz w:val="24"/>
          <w:szCs w:val="24"/>
        </w:rPr>
        <w:t>present</w:t>
      </w:r>
      <w:r w:rsidR="00B73DE0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 xml:space="preserve"> </w:t>
      </w:r>
      <w:hyperlink r:id="rId8" w:history="1">
        <w:r w:rsidRPr="002B23AC">
          <w:rPr>
            <w:rStyle w:val="Hipervnculo"/>
            <w:bCs/>
            <w:color w:val="auto"/>
            <w:sz w:val="24"/>
            <w:szCs w:val="24"/>
            <w:u w:val="none"/>
          </w:rPr>
          <w:t xml:space="preserve">el primer </w:t>
        </w:r>
        <w:r w:rsidR="00367567" w:rsidRPr="002B23AC">
          <w:rPr>
            <w:rStyle w:val="Hipervnculo"/>
            <w:bCs/>
            <w:color w:val="auto"/>
            <w:sz w:val="24"/>
            <w:szCs w:val="24"/>
            <w:u w:val="none"/>
          </w:rPr>
          <w:t xml:space="preserve">compendio </w:t>
        </w:r>
        <w:r w:rsidRPr="002B23AC">
          <w:rPr>
            <w:rStyle w:val="Hipervnculo"/>
            <w:bCs/>
            <w:color w:val="auto"/>
            <w:sz w:val="24"/>
            <w:szCs w:val="24"/>
            <w:u w:val="none"/>
          </w:rPr>
          <w:t>de sentencias con perspectiva de género</w:t>
        </w:r>
        <w:r w:rsidR="00797C82" w:rsidRPr="002B23AC">
          <w:rPr>
            <w:rStyle w:val="Hipervnculo"/>
            <w:bCs/>
            <w:color w:val="auto"/>
            <w:sz w:val="24"/>
            <w:szCs w:val="24"/>
            <w:u w:val="none"/>
          </w:rPr>
          <w:t xml:space="preserve"> de la Argentina</w:t>
        </w:r>
      </w:hyperlink>
      <w:r w:rsidR="00634B8F">
        <w:rPr>
          <w:bCs/>
          <w:sz w:val="24"/>
          <w:szCs w:val="24"/>
        </w:rPr>
        <w:t>.</w:t>
      </w:r>
    </w:p>
    <w:p w14:paraId="0927AAC9" w14:textId="5581E5E4" w:rsidR="00B73DE0" w:rsidRDefault="00B73DE0" w:rsidP="008F0FC8">
      <w:pPr>
        <w:spacing w:after="0" w:line="360" w:lineRule="auto"/>
        <w:jc w:val="both"/>
        <w:rPr>
          <w:bCs/>
          <w:sz w:val="24"/>
          <w:szCs w:val="24"/>
        </w:rPr>
      </w:pPr>
    </w:p>
    <w:p w14:paraId="60965C63" w14:textId="5B31E249" w:rsidR="00B73DE0" w:rsidRPr="00AA4880" w:rsidRDefault="00B73DE0" w:rsidP="00B73DE0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Se trata de una selección de 110 sentencias </w:t>
      </w:r>
      <w:r w:rsidRPr="00AA4880">
        <w:rPr>
          <w:sz w:val="24"/>
          <w:szCs w:val="24"/>
        </w:rPr>
        <w:t>y autos interlocutorios remitid</w:t>
      </w:r>
      <w:r w:rsidR="00985F45">
        <w:rPr>
          <w:sz w:val="24"/>
          <w:szCs w:val="24"/>
        </w:rPr>
        <w:t>o</w:t>
      </w:r>
      <w:r w:rsidRPr="00AA4880">
        <w:rPr>
          <w:sz w:val="24"/>
          <w:szCs w:val="24"/>
        </w:rPr>
        <w:t xml:space="preserve">s por </w:t>
      </w:r>
      <w:r>
        <w:rPr>
          <w:sz w:val="24"/>
          <w:szCs w:val="24"/>
        </w:rPr>
        <w:t>la Justicia de</w:t>
      </w:r>
      <w:r w:rsidRPr="00AA4880">
        <w:rPr>
          <w:sz w:val="24"/>
          <w:szCs w:val="24"/>
        </w:rPr>
        <w:t xml:space="preserve"> las provincias de Buenos Aires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Catamarca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Chaco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Córdoba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Corrientes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Entre Ríos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Formosa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Pampa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Rioja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Neuquén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Mendoza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Río Negro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Santa Fe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Santa Cruz y Tucumán</w:t>
      </w:r>
      <w:r>
        <w:rPr>
          <w:sz w:val="24"/>
          <w:szCs w:val="24"/>
        </w:rPr>
        <w:t>; dictados p</w:t>
      </w:r>
      <w:r w:rsidRPr="00AA4880">
        <w:rPr>
          <w:sz w:val="24"/>
          <w:szCs w:val="24"/>
        </w:rPr>
        <w:t>or la Cámara Federal de Casación Penal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Cámara Contravencional y de Faltas de la Ciudad Autónoma de Buenos Aires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</w:t>
      </w:r>
      <w:r w:rsidR="00985F45">
        <w:rPr>
          <w:sz w:val="24"/>
          <w:szCs w:val="24"/>
        </w:rPr>
        <w:t>j</w:t>
      </w:r>
      <w:r w:rsidRPr="00AA4880">
        <w:rPr>
          <w:sz w:val="24"/>
          <w:szCs w:val="24"/>
        </w:rPr>
        <w:t xml:space="preserve">usticia </w:t>
      </w:r>
      <w:r>
        <w:rPr>
          <w:sz w:val="24"/>
          <w:szCs w:val="24"/>
        </w:rPr>
        <w:t>n</w:t>
      </w:r>
      <w:r w:rsidRPr="00AA4880">
        <w:rPr>
          <w:sz w:val="24"/>
          <w:szCs w:val="24"/>
        </w:rPr>
        <w:t>acional en lo Criminal y Correccional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Cámara Federal de Apelaciones de San Martín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Cámara Nacional de Apelaciones en lo Civil</w:t>
      </w:r>
      <w:r>
        <w:rPr>
          <w:sz w:val="24"/>
          <w:szCs w:val="24"/>
        </w:rPr>
        <w:t>,</w:t>
      </w:r>
      <w:r w:rsidRPr="00AA4880">
        <w:rPr>
          <w:sz w:val="24"/>
          <w:szCs w:val="24"/>
        </w:rPr>
        <w:t xml:space="preserve"> la Cámara Federal de Apelaciones de Córdoba y la Cámara Nacional de Apelaciones en lo Contencioso Administrativo Federal.</w:t>
      </w:r>
    </w:p>
    <w:p w14:paraId="735D3178" w14:textId="41AFF2BA" w:rsidR="00B73DE0" w:rsidRDefault="00B73DE0" w:rsidP="008F0FC8">
      <w:pPr>
        <w:spacing w:after="0" w:line="360" w:lineRule="auto"/>
        <w:jc w:val="both"/>
        <w:rPr>
          <w:bCs/>
          <w:sz w:val="24"/>
          <w:szCs w:val="24"/>
        </w:rPr>
      </w:pPr>
    </w:p>
    <w:p w14:paraId="0D68CB15" w14:textId="77777777" w:rsidR="00985F45" w:rsidRPr="00AA4880" w:rsidRDefault="00985F45" w:rsidP="00985F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47CD">
        <w:rPr>
          <w:bCs/>
          <w:sz w:val="24"/>
          <w:szCs w:val="24"/>
        </w:rPr>
        <w:t>Desde hace casi diez años, la</w:t>
      </w:r>
      <w:r w:rsidRPr="00AA4880">
        <w:rPr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 w:rsidRPr="00AA4880">
        <w:rPr>
          <w:sz w:val="24"/>
          <w:szCs w:val="24"/>
        </w:rPr>
        <w:t xml:space="preserve"> viene </w:t>
      </w:r>
      <w:r>
        <w:rPr>
          <w:sz w:val="24"/>
          <w:szCs w:val="24"/>
        </w:rPr>
        <w:t>sistematizando</w:t>
      </w:r>
      <w:r w:rsidRPr="00AA4880">
        <w:rPr>
          <w:sz w:val="24"/>
          <w:szCs w:val="24"/>
        </w:rPr>
        <w:t xml:space="preserve"> las decisiones judiciales sobre cuestiones de género.</w:t>
      </w:r>
      <w:r>
        <w:rPr>
          <w:sz w:val="24"/>
          <w:szCs w:val="24"/>
        </w:rPr>
        <w:t xml:space="preserve"> </w:t>
      </w:r>
      <w:r w:rsidRPr="00AA4880">
        <w:rPr>
          <w:sz w:val="24"/>
          <w:szCs w:val="24"/>
        </w:rPr>
        <w:t xml:space="preserve">Cada una de las decisiones </w:t>
      </w:r>
      <w:r>
        <w:rPr>
          <w:sz w:val="24"/>
          <w:szCs w:val="24"/>
        </w:rPr>
        <w:t xml:space="preserve">que integran el compendio </w:t>
      </w:r>
      <w:r w:rsidRPr="00AA4880">
        <w:rPr>
          <w:sz w:val="24"/>
          <w:szCs w:val="24"/>
        </w:rPr>
        <w:t>preserva la identidad de las partes, conforme la normativa vigente. Se pueden leer los autos anonimizados y una reseña</w:t>
      </w:r>
      <w:r>
        <w:rPr>
          <w:sz w:val="24"/>
          <w:szCs w:val="24"/>
        </w:rPr>
        <w:t xml:space="preserve"> de cada caso, </w:t>
      </w:r>
      <w:r w:rsidRPr="00AA4880">
        <w:rPr>
          <w:sz w:val="24"/>
          <w:szCs w:val="24"/>
        </w:rPr>
        <w:t xml:space="preserve">remitida por </w:t>
      </w:r>
      <w:r>
        <w:rPr>
          <w:sz w:val="24"/>
          <w:szCs w:val="24"/>
        </w:rPr>
        <w:t xml:space="preserve">cada </w:t>
      </w:r>
      <w:r w:rsidRPr="00AA4880">
        <w:rPr>
          <w:sz w:val="24"/>
          <w:szCs w:val="24"/>
        </w:rPr>
        <w:t>jurisdicci</w:t>
      </w:r>
      <w:r>
        <w:rPr>
          <w:sz w:val="24"/>
          <w:szCs w:val="24"/>
        </w:rPr>
        <w:t>ón.</w:t>
      </w:r>
      <w:r w:rsidRPr="00AA4880">
        <w:rPr>
          <w:rFonts w:cstheme="minorHAnsi"/>
          <w:sz w:val="24"/>
          <w:szCs w:val="24"/>
        </w:rPr>
        <w:t xml:space="preserve"> </w:t>
      </w:r>
    </w:p>
    <w:p w14:paraId="15FFB253" w14:textId="77777777" w:rsidR="00985F45" w:rsidRDefault="00985F45" w:rsidP="008F0FC8">
      <w:pPr>
        <w:spacing w:after="0" w:line="360" w:lineRule="auto"/>
        <w:jc w:val="both"/>
        <w:rPr>
          <w:bCs/>
          <w:sz w:val="24"/>
          <w:szCs w:val="24"/>
        </w:rPr>
      </w:pPr>
    </w:p>
    <w:p w14:paraId="10BCCE99" w14:textId="1F8A4357" w:rsidR="005722E8" w:rsidRPr="00AA4880" w:rsidRDefault="00067F02" w:rsidP="005722E8">
      <w:pPr>
        <w:spacing w:after="0" w:line="360" w:lineRule="auto"/>
        <w:jc w:val="both"/>
        <w:rPr>
          <w:sz w:val="24"/>
          <w:szCs w:val="24"/>
        </w:rPr>
      </w:pPr>
      <w:r w:rsidRPr="00AA4880">
        <w:rPr>
          <w:sz w:val="24"/>
          <w:szCs w:val="24"/>
        </w:rPr>
        <w:t>En 2020, la Comisión</w:t>
      </w:r>
      <w:r w:rsidR="005722E8" w:rsidRPr="00AA4880">
        <w:rPr>
          <w:sz w:val="24"/>
          <w:szCs w:val="24"/>
        </w:rPr>
        <w:t xml:space="preserve"> </w:t>
      </w:r>
      <w:r w:rsidRPr="00AA4880">
        <w:rPr>
          <w:sz w:val="24"/>
          <w:szCs w:val="24"/>
        </w:rPr>
        <w:t>Permanente de Género y Acceso a la Justicia de la Cumbre Judicial Iberoamericana</w:t>
      </w:r>
      <w:r w:rsidR="00634B8F" w:rsidRPr="00AA4880">
        <w:rPr>
          <w:sz w:val="24"/>
          <w:szCs w:val="24"/>
        </w:rPr>
        <w:t xml:space="preserve"> </w:t>
      </w:r>
      <w:r w:rsidRPr="00AA4880">
        <w:rPr>
          <w:sz w:val="24"/>
          <w:szCs w:val="24"/>
        </w:rPr>
        <w:t>convocó a</w:t>
      </w:r>
      <w:r w:rsidR="005722E8" w:rsidRPr="00AA4880">
        <w:rPr>
          <w:sz w:val="24"/>
          <w:szCs w:val="24"/>
        </w:rPr>
        <w:t xml:space="preserve"> </w:t>
      </w:r>
      <w:r w:rsidRPr="00AA4880">
        <w:rPr>
          <w:sz w:val="24"/>
          <w:szCs w:val="24"/>
        </w:rPr>
        <w:t>todos los poderes judiciales a enviar fallos, a fin de integrar un proyecto de análisis de</w:t>
      </w:r>
      <w:r w:rsidR="005722E8" w:rsidRPr="00AA4880">
        <w:rPr>
          <w:sz w:val="24"/>
          <w:szCs w:val="24"/>
        </w:rPr>
        <w:t xml:space="preserve"> </w:t>
      </w:r>
      <w:r w:rsidRPr="00AA4880">
        <w:rPr>
          <w:sz w:val="24"/>
          <w:szCs w:val="24"/>
        </w:rPr>
        <w:t>sentencias con perspectiva de género de todos los países de la región.</w:t>
      </w:r>
      <w:r w:rsidR="00B73DE0">
        <w:rPr>
          <w:sz w:val="24"/>
          <w:szCs w:val="24"/>
        </w:rPr>
        <w:t xml:space="preserve"> </w:t>
      </w:r>
      <w:r w:rsidR="005722E8" w:rsidRPr="00AA4880">
        <w:rPr>
          <w:sz w:val="24"/>
          <w:szCs w:val="24"/>
        </w:rPr>
        <w:t xml:space="preserve">Las sentencias y autos interlocutorios remitidos debieron </w:t>
      </w:r>
      <w:r w:rsidR="00620144" w:rsidRPr="00AA4880">
        <w:rPr>
          <w:sz w:val="24"/>
          <w:szCs w:val="24"/>
        </w:rPr>
        <w:t>a</w:t>
      </w:r>
      <w:r w:rsidR="005722E8" w:rsidRPr="00AA4880">
        <w:rPr>
          <w:sz w:val="24"/>
          <w:szCs w:val="24"/>
        </w:rPr>
        <w:t>bordar la protección de los derechos de mujeres, niñas, adolescentes y del colectivo LGBTTIQ (</w:t>
      </w:r>
      <w:r w:rsidR="00B73DE0" w:rsidRPr="00AA4880">
        <w:rPr>
          <w:sz w:val="24"/>
          <w:szCs w:val="24"/>
        </w:rPr>
        <w:t>lesbianas, gays, bisexuales, travestis, transgénero, intersexuales y queer</w:t>
      </w:r>
      <w:r w:rsidR="00620144" w:rsidRPr="00AA4880">
        <w:rPr>
          <w:sz w:val="24"/>
          <w:szCs w:val="24"/>
        </w:rPr>
        <w:t>) y h</w:t>
      </w:r>
      <w:r w:rsidR="005722E8" w:rsidRPr="00AA4880">
        <w:rPr>
          <w:sz w:val="24"/>
          <w:szCs w:val="24"/>
        </w:rPr>
        <w:t xml:space="preserve">acer alusión al derecho a la igualdad, las relaciones asimétricas de poder, los estereotipos discriminatorios de género, </w:t>
      </w:r>
      <w:r w:rsidR="005722E8" w:rsidRPr="00AA4880">
        <w:rPr>
          <w:sz w:val="24"/>
          <w:szCs w:val="24"/>
        </w:rPr>
        <w:lastRenderedPageBreak/>
        <w:t>la discriminación o los diferentes tipos de violencia de género y el cuestionamiento de la neutralidad de la norma.</w:t>
      </w:r>
    </w:p>
    <w:p w14:paraId="22574933" w14:textId="77777777" w:rsidR="00985F45" w:rsidRDefault="00985F45" w:rsidP="005722E8">
      <w:pPr>
        <w:spacing w:after="0" w:line="360" w:lineRule="auto"/>
        <w:jc w:val="both"/>
        <w:rPr>
          <w:sz w:val="24"/>
          <w:szCs w:val="24"/>
        </w:rPr>
      </w:pPr>
    </w:p>
    <w:p w14:paraId="05CC3BDC" w14:textId="4D1608E4" w:rsidR="00D62ACA" w:rsidRPr="00AA4880" w:rsidRDefault="00B73DE0" w:rsidP="00985F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85F45">
        <w:rPr>
          <w:sz w:val="24"/>
          <w:szCs w:val="24"/>
        </w:rPr>
        <w:t>Para ver el compendio</w:t>
      </w:r>
      <w:r w:rsidR="00985F45">
        <w:rPr>
          <w:sz w:val="24"/>
          <w:szCs w:val="24"/>
        </w:rPr>
        <w:t xml:space="preserve"> completo</w:t>
      </w:r>
      <w:r w:rsidRPr="00985F45">
        <w:rPr>
          <w:sz w:val="24"/>
          <w:szCs w:val="24"/>
        </w:rPr>
        <w:t xml:space="preserve">, ingrese a la </w:t>
      </w:r>
      <w:r w:rsidR="00D62ACA" w:rsidRPr="00985F45">
        <w:rPr>
          <w:rFonts w:cstheme="minorHAnsi"/>
          <w:sz w:val="24"/>
          <w:szCs w:val="24"/>
        </w:rPr>
        <w:t>Base de Jurisprudencia de género de la O</w:t>
      </w:r>
      <w:r w:rsidR="00985F45">
        <w:rPr>
          <w:rFonts w:cstheme="minorHAnsi"/>
          <w:sz w:val="24"/>
          <w:szCs w:val="24"/>
        </w:rPr>
        <w:t xml:space="preserve">M: </w:t>
      </w:r>
      <w:hyperlink r:id="rId9" w:history="1">
        <w:r w:rsidRPr="00985F45">
          <w:rPr>
            <w:rStyle w:val="Hipervnculo"/>
            <w:rFonts w:cstheme="minorHAnsi"/>
            <w:sz w:val="24"/>
            <w:szCs w:val="24"/>
          </w:rPr>
          <w:t>https://om.csjn.gov.ar/JurisprudenciaOM/consultaOM/consultaSentencias.html</w:t>
        </w:r>
      </w:hyperlink>
      <w:r w:rsidR="00D62ACA" w:rsidRPr="00AA4880">
        <w:rPr>
          <w:rFonts w:cstheme="minorHAnsi"/>
          <w:sz w:val="24"/>
          <w:szCs w:val="24"/>
        </w:rPr>
        <w:t xml:space="preserve">. </w:t>
      </w:r>
    </w:p>
    <w:p w14:paraId="3F347718" w14:textId="77777777" w:rsidR="00D62ACA" w:rsidRDefault="00D62ACA" w:rsidP="00097FA6">
      <w:pPr>
        <w:spacing w:after="0" w:line="360" w:lineRule="auto"/>
        <w:jc w:val="both"/>
      </w:pPr>
    </w:p>
    <w:p w14:paraId="50A52B6E" w14:textId="77777777" w:rsidR="00097FA6" w:rsidRDefault="00097FA6">
      <w:pPr>
        <w:spacing w:after="0" w:line="360" w:lineRule="auto"/>
        <w:jc w:val="both"/>
      </w:pPr>
    </w:p>
    <w:p w14:paraId="25B16731" w14:textId="239698A9" w:rsidR="00097FA6" w:rsidRPr="005722E8" w:rsidRDefault="00097FA6" w:rsidP="00097FA6">
      <w:pPr>
        <w:spacing w:after="0" w:line="360" w:lineRule="auto"/>
        <w:jc w:val="both"/>
      </w:pPr>
    </w:p>
    <w:p w14:paraId="21D078AD" w14:textId="77777777" w:rsidR="00097FA6" w:rsidRPr="005722E8" w:rsidRDefault="00097FA6" w:rsidP="00097FA6">
      <w:pPr>
        <w:spacing w:after="0" w:line="360" w:lineRule="auto"/>
        <w:jc w:val="both"/>
      </w:pPr>
    </w:p>
    <w:p w14:paraId="55B24F53" w14:textId="77777777" w:rsidR="00097FA6" w:rsidRPr="005722E8" w:rsidRDefault="00097FA6">
      <w:pPr>
        <w:spacing w:after="0" w:line="360" w:lineRule="auto"/>
        <w:jc w:val="both"/>
      </w:pPr>
    </w:p>
    <w:sectPr w:rsidR="00097FA6" w:rsidRPr="0057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13F6" w14:textId="77777777" w:rsidR="00FA78F2" w:rsidRDefault="00FA78F2" w:rsidP="005722E8">
      <w:pPr>
        <w:spacing w:after="0" w:line="240" w:lineRule="auto"/>
      </w:pPr>
      <w:r>
        <w:separator/>
      </w:r>
    </w:p>
  </w:endnote>
  <w:endnote w:type="continuationSeparator" w:id="0">
    <w:p w14:paraId="43B79E10" w14:textId="77777777" w:rsidR="00FA78F2" w:rsidRDefault="00FA78F2" w:rsidP="005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32FC" w14:textId="77777777" w:rsidR="00FA78F2" w:rsidRDefault="00FA78F2" w:rsidP="005722E8">
      <w:pPr>
        <w:spacing w:after="0" w:line="240" w:lineRule="auto"/>
      </w:pPr>
      <w:r>
        <w:separator/>
      </w:r>
    </w:p>
  </w:footnote>
  <w:footnote w:type="continuationSeparator" w:id="0">
    <w:p w14:paraId="450A32C8" w14:textId="77777777" w:rsidR="00FA78F2" w:rsidRDefault="00FA78F2" w:rsidP="0057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1963"/>
    <w:multiLevelType w:val="hybridMultilevel"/>
    <w:tmpl w:val="54D87A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2"/>
    <w:rsid w:val="00067F02"/>
    <w:rsid w:val="00076D52"/>
    <w:rsid w:val="00097FA6"/>
    <w:rsid w:val="000D6289"/>
    <w:rsid w:val="00165A8E"/>
    <w:rsid w:val="001D08DC"/>
    <w:rsid w:val="00290A3F"/>
    <w:rsid w:val="002B23AC"/>
    <w:rsid w:val="00361C0C"/>
    <w:rsid w:val="00367567"/>
    <w:rsid w:val="004A772C"/>
    <w:rsid w:val="004F153E"/>
    <w:rsid w:val="00530210"/>
    <w:rsid w:val="005722E8"/>
    <w:rsid w:val="00620144"/>
    <w:rsid w:val="00634B8F"/>
    <w:rsid w:val="00666C61"/>
    <w:rsid w:val="00787D3B"/>
    <w:rsid w:val="00797C82"/>
    <w:rsid w:val="00892FC2"/>
    <w:rsid w:val="008F0FC8"/>
    <w:rsid w:val="00985F45"/>
    <w:rsid w:val="00AA4880"/>
    <w:rsid w:val="00B11A5C"/>
    <w:rsid w:val="00B73DE0"/>
    <w:rsid w:val="00B93E90"/>
    <w:rsid w:val="00C42361"/>
    <w:rsid w:val="00C647CD"/>
    <w:rsid w:val="00CE61FD"/>
    <w:rsid w:val="00D62ACA"/>
    <w:rsid w:val="00F463EB"/>
    <w:rsid w:val="00FA78F2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D7EE8"/>
  <w15:chartTrackingRefBased/>
  <w15:docId w15:val="{6A2AF25A-8E02-4D6C-9560-14B3CF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2E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2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2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22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5722E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A7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77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77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77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77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7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7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C82"/>
  </w:style>
  <w:style w:type="paragraph" w:styleId="Piedepgina">
    <w:name w:val="footer"/>
    <w:basedOn w:val="Normal"/>
    <w:link w:val="PiedepginaCar"/>
    <w:uiPriority w:val="99"/>
    <w:unhideWhenUsed/>
    <w:rsid w:val="00797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C82"/>
  </w:style>
  <w:style w:type="character" w:styleId="Hipervnculovisitado">
    <w:name w:val="FollowedHyperlink"/>
    <w:basedOn w:val="Fuentedeprrafopredeter"/>
    <w:uiPriority w:val="99"/>
    <w:semiHidden/>
    <w:unhideWhenUsed/>
    <w:rsid w:val="00985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.csjn.gov.ar/JurisprudenciaOM/consultaOM/consultaSentenci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m.csjn.gov.ar/JurisprudenciaOM/consultaOM/consultaSentenci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9ECF-BC78-4D24-A59F-B6AA884A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csjn</dc:creator>
  <cp:keywords/>
  <dc:description/>
  <cp:lastModifiedBy>csjn</cp:lastModifiedBy>
  <cp:revision>2</cp:revision>
  <dcterms:created xsi:type="dcterms:W3CDTF">2021-11-25T10:28:00Z</dcterms:created>
  <dcterms:modified xsi:type="dcterms:W3CDTF">2021-11-25T10:28:00Z</dcterms:modified>
</cp:coreProperties>
</file>